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694" w:rsidRDefault="00430694" w:rsidP="00430694">
      <w:pPr>
        <w:widowControl/>
        <w:spacing w:after="0" w:line="480" w:lineRule="auto"/>
        <w:rPr>
          <w:rFonts w:cs="Times New Roman"/>
          <w:b/>
        </w:rPr>
      </w:pPr>
      <w:bookmarkStart w:id="0" w:name="_GoBack"/>
      <w:bookmarkEnd w:id="0"/>
      <w:r w:rsidRPr="007B0676">
        <w:rPr>
          <w:rFonts w:cs="Times New Roman"/>
          <w:b/>
        </w:rPr>
        <w:t xml:space="preserve">Table </w:t>
      </w:r>
      <w:r>
        <w:rPr>
          <w:rFonts w:cs="Times New Roman"/>
          <w:b/>
        </w:rPr>
        <w:t>S3</w:t>
      </w:r>
    </w:p>
    <w:p w:rsidR="00430694" w:rsidRPr="00B4022A" w:rsidRDefault="00430694" w:rsidP="00430694">
      <w:pPr>
        <w:widowControl/>
        <w:spacing w:after="0" w:line="480" w:lineRule="auto"/>
        <w:rPr>
          <w:rFonts w:cs="Times New Roman"/>
        </w:rPr>
      </w:pPr>
      <w:r w:rsidRPr="00B4022A">
        <w:rPr>
          <w:rFonts w:cs="Times New Roman"/>
        </w:rPr>
        <w:t xml:space="preserve">Serum </w:t>
      </w:r>
      <w:r w:rsidRPr="00D12D52">
        <w:rPr>
          <w:rFonts w:cs="Times New Roman"/>
        </w:rPr>
        <w:t xml:space="preserve">chemistry laboratory parameters in the correction phase </w:t>
      </w:r>
      <w:r w:rsidRPr="00B4022A">
        <w:rPr>
          <w:rFonts w:cs="Times New Roman"/>
        </w:rPr>
        <w:t>(N = 166)</w:t>
      </w:r>
      <w:r>
        <w:rPr>
          <w:rFonts w:cs="Times New Roman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2340"/>
        <w:gridCol w:w="1890"/>
        <w:gridCol w:w="2178"/>
      </w:tblGrid>
      <w:tr w:rsidR="00430694" w:rsidRPr="007B0676" w:rsidTr="0006400A">
        <w:tc>
          <w:tcPr>
            <w:tcW w:w="165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  <w:b/>
              </w:rPr>
            </w:pPr>
            <w:r w:rsidRPr="006D2C91">
              <w:rPr>
                <w:rFonts w:cs="Times New Roman"/>
                <w:b/>
              </w:rPr>
              <w:t>Parameter</w:t>
            </w:r>
          </w:p>
        </w:tc>
        <w:tc>
          <w:tcPr>
            <w:tcW w:w="122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  <w:b/>
              </w:rPr>
              <w:t>Baseline</w:t>
            </w:r>
          </w:p>
        </w:tc>
        <w:tc>
          <w:tcPr>
            <w:tcW w:w="98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  <w:b/>
              </w:rPr>
              <w:t xml:space="preserve">48 </w:t>
            </w:r>
            <w:r>
              <w:rPr>
                <w:rFonts w:cs="Times New Roman"/>
                <w:b/>
              </w:rPr>
              <w:t>h</w:t>
            </w:r>
            <w:r w:rsidRPr="006D2C91">
              <w:rPr>
                <w:rFonts w:cs="Times New Roman"/>
                <w:b/>
              </w:rPr>
              <w:t>ours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  <w:b/>
              </w:rPr>
              <w:t>Nominal change from baseline</w:t>
            </w:r>
          </w:p>
        </w:tc>
      </w:tr>
      <w:tr w:rsidR="00430694" w:rsidRPr="007B0676" w:rsidTr="0006400A">
        <w:tc>
          <w:tcPr>
            <w:tcW w:w="1654" w:type="pct"/>
            <w:tcBorders>
              <w:top w:val="single" w:sz="4" w:space="0" w:color="auto"/>
            </w:tcBorders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Creatinine, mmol/L</w:t>
            </w:r>
          </w:p>
        </w:tc>
        <w:tc>
          <w:tcPr>
            <w:tcW w:w="1222" w:type="pct"/>
            <w:tcBorders>
              <w:top w:val="single" w:sz="4" w:space="0" w:color="auto"/>
            </w:tcBorders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0.22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(0.20–0.24)</w:t>
            </w:r>
          </w:p>
        </w:tc>
        <w:tc>
          <w:tcPr>
            <w:tcW w:w="987" w:type="pct"/>
            <w:tcBorders>
              <w:top w:val="single" w:sz="4" w:space="0" w:color="auto"/>
            </w:tcBorders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 xml:space="preserve">0.21 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(0.19–0.23)</w:t>
            </w:r>
          </w:p>
        </w:tc>
        <w:tc>
          <w:tcPr>
            <w:tcW w:w="1137" w:type="pct"/>
            <w:tcBorders>
              <w:top w:val="single" w:sz="4" w:space="0" w:color="auto"/>
            </w:tcBorders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–0.01*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(–0.01 to –0.01)</w:t>
            </w:r>
          </w:p>
        </w:tc>
      </w:tr>
      <w:tr w:rsidR="00430694" w:rsidRPr="007B0676" w:rsidTr="0006400A">
        <w:tc>
          <w:tcPr>
            <w:tcW w:w="1654" w:type="pct"/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Glucose, mmol/L</w:t>
            </w:r>
          </w:p>
        </w:tc>
        <w:tc>
          <w:tcPr>
            <w:tcW w:w="1222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7.75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(7.10–8.40)</w:t>
            </w:r>
          </w:p>
        </w:tc>
        <w:tc>
          <w:tcPr>
            <w:tcW w:w="98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7.30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(6.75–7.86)</w:t>
            </w:r>
          </w:p>
        </w:tc>
        <w:tc>
          <w:tcPr>
            <w:tcW w:w="113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 xml:space="preserve">–0.42 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(–0.98 to 0.14)</w:t>
            </w:r>
          </w:p>
        </w:tc>
      </w:tr>
      <w:tr w:rsidR="00430694" w:rsidRPr="007B0676" w:rsidTr="0006400A">
        <w:tc>
          <w:tcPr>
            <w:tcW w:w="1654" w:type="pct"/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eGFR, mL/min/1.73 m</w:t>
            </w:r>
            <w:r w:rsidRPr="006D2C91">
              <w:rPr>
                <w:rFonts w:cs="Times New Roman"/>
                <w:vertAlign w:val="superscript"/>
              </w:rPr>
              <w:t>2</w:t>
            </w:r>
          </w:p>
        </w:tc>
        <w:tc>
          <w:tcPr>
            <w:tcW w:w="1222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37.5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(33.5–41.4)</w:t>
            </w:r>
          </w:p>
        </w:tc>
        <w:tc>
          <w:tcPr>
            <w:tcW w:w="98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39.6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(35.4–43.7)</w:t>
            </w:r>
          </w:p>
        </w:tc>
        <w:tc>
          <w:tcPr>
            <w:tcW w:w="113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2.2*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(1.3–3.2)</w:t>
            </w:r>
          </w:p>
        </w:tc>
      </w:tr>
      <w:tr w:rsidR="00430694" w:rsidRPr="007B0676" w:rsidTr="0006400A">
        <w:tc>
          <w:tcPr>
            <w:tcW w:w="1654" w:type="pct"/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BUN, mmol/L</w:t>
            </w:r>
          </w:p>
        </w:tc>
        <w:tc>
          <w:tcPr>
            <w:tcW w:w="1222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15.44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(14.19–16.71)</w:t>
            </w:r>
          </w:p>
        </w:tc>
        <w:tc>
          <w:tcPr>
            <w:tcW w:w="98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14.4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(13.19–15.61)</w:t>
            </w:r>
          </w:p>
        </w:tc>
        <w:tc>
          <w:tcPr>
            <w:tcW w:w="113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 xml:space="preserve">–1.04* 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(–1.34 to –0.75)</w:t>
            </w:r>
          </w:p>
        </w:tc>
      </w:tr>
      <w:tr w:rsidR="00430694" w:rsidRPr="007B0676" w:rsidTr="0006400A">
        <w:tc>
          <w:tcPr>
            <w:tcW w:w="1654" w:type="pct"/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Bicarbonate, mmol/L</w:t>
            </w:r>
          </w:p>
        </w:tc>
        <w:tc>
          <w:tcPr>
            <w:tcW w:w="1222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 xml:space="preserve">21.6 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(20.9–22.3)</w:t>
            </w:r>
          </w:p>
        </w:tc>
        <w:tc>
          <w:tcPr>
            <w:tcW w:w="98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 xml:space="preserve">23.1 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(22.5–23.7)</w:t>
            </w:r>
          </w:p>
        </w:tc>
        <w:tc>
          <w:tcPr>
            <w:tcW w:w="113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 xml:space="preserve">1.6* 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(1.2–1.9)</w:t>
            </w:r>
          </w:p>
        </w:tc>
      </w:tr>
      <w:tr w:rsidR="00430694" w:rsidRPr="007B0676" w:rsidTr="0006400A">
        <w:tc>
          <w:tcPr>
            <w:tcW w:w="1654" w:type="pct"/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Calcium, mmol/L</w:t>
            </w:r>
          </w:p>
        </w:tc>
        <w:tc>
          <w:tcPr>
            <w:tcW w:w="1222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2.35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(2.32–2.38)</w:t>
            </w:r>
          </w:p>
        </w:tc>
        <w:tc>
          <w:tcPr>
            <w:tcW w:w="98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 xml:space="preserve">2.26 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(2.24–2.29)</w:t>
            </w:r>
          </w:p>
        </w:tc>
        <w:tc>
          <w:tcPr>
            <w:tcW w:w="113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–0.08*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(–0.10 to –0.07)</w:t>
            </w:r>
          </w:p>
        </w:tc>
      </w:tr>
      <w:tr w:rsidR="00430694" w:rsidRPr="007B0676" w:rsidTr="0006400A">
        <w:tc>
          <w:tcPr>
            <w:tcW w:w="1654" w:type="pct"/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Magnesium, mmol/L</w:t>
            </w:r>
          </w:p>
        </w:tc>
        <w:tc>
          <w:tcPr>
            <w:tcW w:w="1222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0.81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(0.79–0.84)</w:t>
            </w:r>
          </w:p>
        </w:tc>
        <w:tc>
          <w:tcPr>
            <w:tcW w:w="98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0.79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(0.77–0.81)</w:t>
            </w:r>
          </w:p>
        </w:tc>
        <w:tc>
          <w:tcPr>
            <w:tcW w:w="113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–0.02*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(–0.03 to –0.02)</w:t>
            </w:r>
          </w:p>
        </w:tc>
      </w:tr>
      <w:tr w:rsidR="00430694" w:rsidRPr="007B0676" w:rsidTr="0006400A">
        <w:tc>
          <w:tcPr>
            <w:tcW w:w="1654" w:type="pct"/>
            <w:vAlign w:val="center"/>
          </w:tcPr>
          <w:p w:rsidR="00430694" w:rsidRPr="006D2C91" w:rsidRDefault="00430694" w:rsidP="0006400A">
            <w:pPr>
              <w:widowControl/>
              <w:spacing w:after="0"/>
              <w:rPr>
                <w:rFonts w:cs="Times New Roman"/>
              </w:rPr>
            </w:pPr>
            <w:r w:rsidRPr="006D2C91">
              <w:rPr>
                <w:rFonts w:cs="Times New Roman"/>
              </w:rPr>
              <w:t>Sodium, mmol/L</w:t>
            </w:r>
          </w:p>
        </w:tc>
        <w:tc>
          <w:tcPr>
            <w:tcW w:w="1222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138.5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(138.0–139.0)</w:t>
            </w:r>
          </w:p>
        </w:tc>
        <w:tc>
          <w:tcPr>
            <w:tcW w:w="98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139.5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(139.1–140.0)</w:t>
            </w:r>
          </w:p>
        </w:tc>
        <w:tc>
          <w:tcPr>
            <w:tcW w:w="1137" w:type="pct"/>
          </w:tcPr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1.0*</w:t>
            </w:r>
          </w:p>
          <w:p w:rsidR="00430694" w:rsidRPr="006D2C91" w:rsidRDefault="00430694" w:rsidP="0006400A">
            <w:pPr>
              <w:widowControl/>
              <w:spacing w:after="0"/>
              <w:jc w:val="center"/>
              <w:rPr>
                <w:rFonts w:cs="Times New Roman"/>
              </w:rPr>
            </w:pPr>
            <w:r w:rsidRPr="006D2C91">
              <w:rPr>
                <w:rFonts w:cs="Times New Roman"/>
              </w:rPr>
              <w:t>(0.6–1.4)</w:t>
            </w:r>
          </w:p>
        </w:tc>
      </w:tr>
    </w:tbl>
    <w:p w:rsidR="00430694" w:rsidRDefault="00430694" w:rsidP="00430694">
      <w:pPr>
        <w:spacing w:after="0" w:line="480" w:lineRule="auto"/>
        <w:contextualSpacing/>
        <w:rPr>
          <w:rFonts w:cs="Times New Roman"/>
        </w:rPr>
      </w:pPr>
      <w:r w:rsidRPr="007B0676">
        <w:rPr>
          <w:rFonts w:cs="Times New Roman"/>
        </w:rPr>
        <w:t xml:space="preserve">Data are </w:t>
      </w:r>
      <w:r>
        <w:rPr>
          <w:rFonts w:cs="Times New Roman"/>
        </w:rPr>
        <w:t xml:space="preserve">shown as </w:t>
      </w:r>
      <w:r w:rsidRPr="007B0676">
        <w:rPr>
          <w:rFonts w:cs="Times New Roman"/>
        </w:rPr>
        <w:t>mean (95% confidence interval).</w:t>
      </w:r>
      <w:r w:rsidRPr="007B0676">
        <w:rPr>
          <w:rFonts w:cs="Times New Roman"/>
        </w:rPr>
        <w:br/>
        <w:t>*</w:t>
      </w:r>
      <w:r w:rsidRPr="007B0676">
        <w:rPr>
          <w:rFonts w:cs="Times New Roman"/>
          <w:i/>
        </w:rPr>
        <w:t xml:space="preserve">p </w:t>
      </w:r>
      <w:r w:rsidRPr="007B0676">
        <w:rPr>
          <w:rFonts w:cs="Times New Roman"/>
        </w:rPr>
        <w:t xml:space="preserve">≤ 0.001 for change from baseline. </w:t>
      </w:r>
    </w:p>
    <w:p w:rsidR="00430694" w:rsidRPr="002057EB" w:rsidRDefault="00430694" w:rsidP="00430694">
      <w:pPr>
        <w:spacing w:after="0" w:line="480" w:lineRule="auto"/>
        <w:contextualSpacing/>
        <w:rPr>
          <w:b/>
        </w:rPr>
      </w:pPr>
      <w:r w:rsidRPr="007B0676">
        <w:rPr>
          <w:rFonts w:cs="Times New Roman"/>
        </w:rPr>
        <w:t>BUN</w:t>
      </w:r>
      <w:r>
        <w:rPr>
          <w:rFonts w:cs="Times New Roman"/>
        </w:rPr>
        <w:t>,</w:t>
      </w:r>
      <w:r w:rsidRPr="007B0676">
        <w:rPr>
          <w:rFonts w:cs="Times New Roman"/>
        </w:rPr>
        <w:t xml:space="preserve"> blood urea nitrogen; eGFR</w:t>
      </w:r>
      <w:r>
        <w:rPr>
          <w:rFonts w:cs="Times New Roman"/>
        </w:rPr>
        <w:t>,</w:t>
      </w:r>
      <w:r w:rsidRPr="007B0676">
        <w:rPr>
          <w:rFonts w:cs="Times New Roman"/>
        </w:rPr>
        <w:t xml:space="preserve"> estimated glomerular filtration rate.</w:t>
      </w:r>
      <w:r w:rsidRPr="007B0676">
        <w:rPr>
          <w:rFonts w:cs="Times New Roman"/>
        </w:rPr>
        <w:br/>
      </w:r>
    </w:p>
    <w:p w:rsidR="002D60EE" w:rsidRDefault="002D60EE"/>
    <w:sectPr w:rsidR="002D60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08F" w:rsidRDefault="0089708F" w:rsidP="0089708F">
      <w:pPr>
        <w:spacing w:after="0"/>
      </w:pPr>
      <w:r>
        <w:separator/>
      </w:r>
    </w:p>
  </w:endnote>
  <w:endnote w:type="continuationSeparator" w:id="0">
    <w:p w:rsidR="0089708F" w:rsidRDefault="0089708F" w:rsidP="0089708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08F" w:rsidRDefault="0089708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08F" w:rsidRDefault="0089708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08F" w:rsidRDefault="0089708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08F" w:rsidRDefault="0089708F" w:rsidP="0089708F">
      <w:pPr>
        <w:spacing w:after="0"/>
      </w:pPr>
      <w:r>
        <w:separator/>
      </w:r>
    </w:p>
  </w:footnote>
  <w:footnote w:type="continuationSeparator" w:id="0">
    <w:p w:rsidR="0089708F" w:rsidRDefault="0089708F" w:rsidP="0089708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08F" w:rsidRDefault="0089708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08F" w:rsidRDefault="0089708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08F" w:rsidRDefault="008970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694"/>
    <w:rsid w:val="002D60EE"/>
    <w:rsid w:val="00430694"/>
    <w:rsid w:val="0089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694"/>
    <w:pPr>
      <w:widowControl w:val="0"/>
      <w:spacing w:after="240" w:line="240" w:lineRule="auto"/>
    </w:pPr>
    <w:rPr>
      <w:rFonts w:ascii="Times New Roman" w:eastAsia="Times New Roman" w:hAnsi="Times New Roman" w:cs="Vrinda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0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708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708F"/>
    <w:rPr>
      <w:rFonts w:ascii="Times New Roman" w:eastAsia="Times New Roman" w:hAnsi="Times New Roman" w:cs="Vrinda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9708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708F"/>
    <w:rPr>
      <w:rFonts w:ascii="Times New Roman" w:eastAsia="Times New Roman" w:hAnsi="Times New Roman" w:cs="Vrinda"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694"/>
    <w:pPr>
      <w:widowControl w:val="0"/>
      <w:spacing w:after="240" w:line="240" w:lineRule="auto"/>
    </w:pPr>
    <w:rPr>
      <w:rFonts w:ascii="Times New Roman" w:eastAsia="Times New Roman" w:hAnsi="Times New Roman" w:cs="Vrinda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0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708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708F"/>
    <w:rPr>
      <w:rFonts w:ascii="Times New Roman" w:eastAsia="Times New Roman" w:hAnsi="Times New Roman" w:cs="Vrinda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9708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708F"/>
    <w:rPr>
      <w:rFonts w:ascii="Times New Roman" w:eastAsia="Times New Roman" w:hAnsi="Times New Roman" w:cs="Vrinda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2019-05-31T17:52:00Z</dcterms:created>
  <dcterms:modified xsi:type="dcterms:W3CDTF">2019-05-31T17:52:00Z</dcterms:modified>
</cp:coreProperties>
</file>